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AVENANT AU CONTRAT DE BAIL</w:t>
      </w:r>
    </w:p>
    <w:p>
      <w:pPr>
        <w:pStyle w:val="Subtitle"/>
        <w:jc w:val="center"/>
      </w:pPr>
      <w:r>
        <w:t>Modèle synthétique à choix — Habitation • Commercial • Professionnel</w:t>
      </w:r>
    </w:p>
    <w:tbl>
      <w:tblPr>
        <w:tblW w:type="auto" w:w="0"/>
        <w:jc w:val="center"/>
        <w:tblLayout w:type="autofit"/>
        <w:tblLook w:firstColumn="1" w:firstRow="1" w:lastColumn="0" w:lastRow="0" w:noHBand="0" w:noVBand="1" w:val="04A0"/>
      </w:tblPr>
      <w:tblGrid>
        <w:gridCol w:w="10482"/>
      </w:tblGrid>
      <w:tr>
        <w:tc>
          <w:tcPr>
            <w:tcW w:type="dxa" w:w="10482"/>
            <w:shd w:fill="EEF3F8"/>
            <w:tcBorders>
              <w:top w:val="single" w:sz="6" w:color="9FB3C8"/>
              <w:left w:val="single" w:sz="6" w:color="9FB3C8"/>
              <w:bottom w:val="single" w:sz="6" w:color="9FB3C8"/>
              <w:right w:val="single" w:sz="6" w:color="9FB3C8"/>
            </w:tcBorders>
            <w:tcMar>
              <w:top w:w="100" w:type="dxa"/>
              <w:start w:w="120" w:type="dxa"/>
              <w:bottom w:w="100" w:type="dxa"/>
              <w:end w:w="120" w:type="dxa"/>
            </w:tcMar>
          </w:tcPr>
          <w:p>
            <w:pPr>
              <w:spacing w:after="20"/>
            </w:pPr>
            <w:r>
              <w:rPr>
                <w:rFonts w:ascii="Aptos" w:hAnsi="Aptos"/>
                <w:b/>
                <w:sz w:val="19"/>
              </w:rPr>
              <w:t>MODE D’EMPLOI</w:t>
            </w:r>
          </w:p>
          <w:p>
            <w:pPr>
              <w:spacing w:after="0" w:line="240" w:lineRule="auto"/>
            </w:pPr>
            <w:r>
              <w:rPr>
                <w:rFonts w:ascii="Aptos" w:hAnsi="Aptos"/>
                <w:sz w:val="17"/>
              </w:rPr>
              <w:t>Cocher un seul régime, compléter uniquement les modules utiles et supprimer les options non retenues avant signature. Ce modèle ne convient pas aux baux mixtes, saisonniers, mobilité, dérogatoires, ruraux ou aux bureaux loués sous bail civil. Une modification substantielle, une cession complexe ou un renouvellement litigieux doit être vérifié par un professionnel du droit.</w:t>
            </w:r>
          </w:p>
        </w:tc>
      </w:tr>
    </w:tbl>
    <w:p>
      <w:pPr>
        <w:spacing w:after="0"/>
      </w:pPr>
    </w:p>
    <w:p>
      <w:pPr>
        <w:pStyle w:val="Heading1"/>
        <w:keepNext/>
      </w:pPr>
      <w:r>
        <w:t>1. RÉGIME JURIDIQUE À RETENIR</w:t>
      </w:r>
    </w:p>
    <w:p>
      <w:pPr>
        <w:spacing w:after="30" w:line="240" w:lineRule="auto"/>
        <w:ind w:left="0"/>
      </w:pPr>
      <w:r>
        <w:rPr>
          <w:rFonts w:ascii="Liberation Sans" w:hAnsi="Liberation Sans" w:eastAsia="Liberation Sans"/>
          <w:sz w:val="18"/>
        </w:rPr>
        <w:t>☐ BAIL D’HABITATION constituant la résidence principale — loi n° 89-462 du 6 juillet 1989  ☐ location nue  ☐ location meublée</w:t>
      </w:r>
    </w:p>
    <w:p>
      <w:pPr>
        <w:spacing w:after="30" w:line="240" w:lineRule="auto"/>
        <w:ind w:left="0"/>
      </w:pPr>
      <w:r>
        <w:rPr>
          <w:rFonts w:ascii="Liberation Sans" w:hAnsi="Liberation Sans" w:eastAsia="Liberation Sans"/>
          <w:sz w:val="18"/>
        </w:rPr>
        <w:t>☐ BAIL COMMERCIAL — articles L. 145-1 et suivants du Code de commerce</w:t>
      </w:r>
    </w:p>
    <w:p>
      <w:pPr>
        <w:spacing w:after="30" w:line="240" w:lineRule="auto"/>
        <w:ind w:left="0"/>
      </w:pPr>
      <w:r>
        <w:rPr>
          <w:rFonts w:ascii="Liberation Sans" w:hAnsi="Liberation Sans" w:eastAsia="Liberation Sans"/>
          <w:sz w:val="18"/>
        </w:rPr>
        <w:t>☐ BAIL PROFESSIONNEL à usage exclusivement professionnel — article 57 A de la loi n° 86-1290 du 23 décembre 1986</w:t>
      </w:r>
    </w:p>
    <w:p>
      <w:pPr>
        <w:spacing w:after="80" w:before="0" w:line="245" w:lineRule="auto"/>
      </w:pPr>
      <w:r>
        <w:rPr>
          <w:i/>
          <w:sz w:val="17"/>
        </w:rPr>
        <w:t>Une seule case doit être cochée. La qualification dépend de l’usage réel des locaux et de l’activité exercée, pas seulement du titre du contrat.</w:t>
      </w:r>
    </w:p>
    <w:p>
      <w:pPr>
        <w:pStyle w:val="Heading1"/>
        <w:keepNext/>
      </w:pPr>
      <w:r>
        <w:t>2. PARTIES</w:t>
      </w:r>
    </w:p>
    <w:tbl>
      <w:tblPr>
        <w:tblW w:type="auto" w:w="0"/>
        <w:jc w:val="center"/>
        <w:tblLayout w:type="fixed"/>
        <w:tblLook w:firstColumn="1" w:firstRow="1" w:lastColumn="0" w:lastRow="0" w:noHBand="0" w:noVBand="1" w:val="04A0"/>
      </w:tblPr>
      <w:tblGrid>
        <w:gridCol w:w="5241"/>
        <w:gridCol w:w="5241"/>
      </w:tblGrid>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BAILLEUR</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[Nom / dénomination, forme, capital, RCS le cas échéant, adresse ou siège, représentant et qualité]</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MANDATAIRE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[Nom / dénomination, adresse, qualité et carte professionnelle le cas échéant] — ☐ sans objet</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PRENEUR / LOCATAIRE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[Nom(s), prénom(s), date et lieu de naissance / dénomination, forme, capital, RCS, siège, représentant]</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NOUVELLE PARTIE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[Identité complète de la personne ajoutée, substituée ou sortante] — ☐ sans objet</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CAUTION / GARANT</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[Identité] — ☐ sans objet — Tout nouvel engagement ou toute extension doit être formalisé par un acte distinct lorsque la loi l’exige.</w:t>
            </w:r>
          </w:p>
        </w:tc>
      </w:tr>
    </w:tbl>
    <w:p>
      <w:pPr>
        <w:spacing w:after="0"/>
      </w:pPr>
    </w:p>
    <w:p>
      <w:pPr>
        <w:pStyle w:val="Heading1"/>
        <w:keepNext/>
      </w:pPr>
      <w:r>
        <w:t>3. BAIL D’ORIGINE</w:t>
      </w:r>
    </w:p>
    <w:tbl>
      <w:tblPr>
        <w:tblW w:type="auto" w:w="0"/>
        <w:jc w:val="center"/>
        <w:tblLayout w:type="fixed"/>
        <w:tblLook w:firstColumn="1" w:firstRow="1" w:lastColumn="0" w:lastRow="0" w:noHBand="0" w:noVBand="1" w:val="04A0"/>
      </w:tblPr>
      <w:tblGrid>
        <w:gridCol w:w="5241"/>
        <w:gridCol w:w="5241"/>
      </w:tblGrid>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Date de signature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[JJ/MM/AAAA]</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Date de prise d’effet</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[JJ/MM/AAAA]</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Adresse des locaux</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[Adresse complète, bâtiment, étage, lots, parkings]</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Désignation / surface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[Description synthétique et surface contractuelle]</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Durée / terme actuel</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[Durée — date d’échéance]</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Loyer actuel</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[Montant] € ☐ HT ☐ TTC  ☐ hors charges ☐ charges comprises  par ☐ mois ☐ trimestre</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Charges actuelles</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[Provision / forfait / montant / clé de répartition]</w:t>
            </w:r>
          </w:p>
        </w:tc>
      </w:tr>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Dépôt / garanties</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[Montant et nature]</w:t>
            </w:r>
          </w:p>
        </w:tc>
      </w:tr>
    </w:tbl>
    <w:p>
      <w:pPr>
        <w:spacing w:after="0"/>
      </w:pPr>
    </w:p>
    <w:p>
      <w:pPr>
        <w:pStyle w:val="Heading1"/>
        <w:keepNext/>
      </w:pPr>
      <w:r>
        <w:t>4. OBJET DE L’AVENANT</w:t>
      </w:r>
    </w:p>
    <w:tbl>
      <w:tblPr>
        <w:tblW w:type="auto" w:w="0"/>
        <w:jc w:val="center"/>
        <w:tblLayout w:type="fixed"/>
        <w:tblLook w:firstColumn="1" w:firstRow="1" w:lastColumn="0" w:lastRow="0" w:noHBand="0" w:noVBand="1" w:val="04A0"/>
      </w:tblPr>
      <w:tblGrid>
        <w:gridCol w:w="5241"/>
        <w:gridCol w:w="5241"/>
      </w:tblGrid>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Ajout, retrait ou substitution d’une partie</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Changement de bailleur ou de mandataire</w:t>
            </w:r>
          </w:p>
        </w:tc>
      </w:tr>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Modification de la désignation ou de la surface</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Modification de l’usage, de la destination ou de l’activité</w:t>
            </w:r>
          </w:p>
        </w:tc>
      </w:tr>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Modification du loyer ou de l’indexation</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Remise, franchise ou échelonnement</w:t>
            </w:r>
          </w:p>
        </w:tc>
      </w:tr>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Modification des charges, taxes ou services</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Modification du dépôt ou des garanties</w:t>
            </w:r>
          </w:p>
        </w:tc>
      </w:tr>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Travaux, aménagements ou remise en état</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Cession, sous-location ou mise à disposition</w:t>
            </w:r>
          </w:p>
        </w:tc>
      </w:tr>
      <w:tr>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Prorogation ou renouvellement</w:t>
            </w:r>
          </w:p>
        </w:tc>
        <w:tc>
          <w:tcPr>
            <w:tcW w:type="dxa" w:w="5241"/>
            <w:tcBorders>
              <w:top w:val="single" w:sz="4" w:color="D4DCE5"/>
              <w:left w:val="single" w:sz="4" w:color="D4DCE5"/>
              <w:bottom w:val="single" w:sz="4" w:color="D4DCE5"/>
              <w:right w:val="single" w:sz="4" w:color="D4DCE5"/>
            </w:tcBorders>
            <w:tcMar>
              <w:top w:w="55" w:type="dxa"/>
              <w:start w:w="80" w:type="dxa"/>
              <w:bottom w:w="55" w:type="dxa"/>
              <w:end w:w="80" w:type="dxa"/>
            </w:tcMar>
          </w:tcPr>
          <w:p>
            <w:pPr>
              <w:spacing w:after="0"/>
            </w:pPr>
            <w:r>
              <w:rPr>
                <w:rFonts w:ascii="Liberation Sans" w:hAnsi="Liberation Sans" w:eastAsia="Liberation Sans"/>
                <w:sz w:val="17"/>
              </w:rPr>
              <w:t>☐ Autre modification : [________________________]</w:t>
            </w:r>
          </w:p>
        </w:tc>
      </w:tr>
    </w:tbl>
    <w:p>
      <w:pPr>
        <w:pStyle w:val="Heading1"/>
        <w:keepNext/>
      </w:pPr>
      <w:r>
        <w:t>5. STIPULATIONS CONTRACTUELLES</w:t>
      </w:r>
    </w:p>
    <w:p>
      <w:pPr>
        <w:spacing w:after="40" w:line="240" w:lineRule="auto"/>
      </w:pPr>
      <w:r>
        <w:rPr>
          <w:b/>
          <w:sz w:val="18"/>
        </w:rPr>
        <w:t xml:space="preserve">Article 1 — Objet et date d’effet. </w:t>
      </w:r>
      <w:r>
        <w:rPr>
          <w:sz w:val="18"/>
        </w:rPr>
        <w:t>Les Parties conviennent de modifier le bail d’origine uniquement selon les modules cochés, complétés et conservés ci-dessous. Le présent avenant prend effet le [JJ/MM/AAAA]. Il n’emporte ni novation ni renonciation aux droits antérieurement acquis, sauf stipulation expresse et licite.</w:t>
      </w:r>
    </w:p>
    <w:p>
      <w:pPr>
        <w:spacing w:after="40" w:line="240" w:lineRule="auto"/>
      </w:pPr>
      <w:r>
        <w:rPr>
          <w:b/>
          <w:sz w:val="18"/>
        </w:rPr>
        <w:t xml:space="preserve">Article 2 — Priorité. </w:t>
      </w:r>
      <w:r>
        <w:rPr>
          <w:sz w:val="18"/>
        </w:rPr>
        <w:t>En cas de contradiction, le présent avenant prévaut sur le bail d’origine pour les seules stipulations qu’il modifie. Toutes les autres clauses demeurent inchangées.</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A</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CHANGEMENT DE PARTIE</w:t>
            </w:r>
            <w:r>
              <w:rPr>
                <w:rFonts w:ascii="Aptos" w:hAnsi="Aptos"/>
                <w:i/>
                <w:color w:val="E1EBF5"/>
                <w:sz w:val="17"/>
              </w:rPr>
              <w:t xml:space="preserve">  —  Tous régimes — conserver uniquement l’option utile</w:t>
            </w:r>
          </w:p>
        </w:tc>
      </w:tr>
    </w:tbl>
    <w:p>
      <w:pPr>
        <w:spacing w:after="30" w:line="240" w:lineRule="auto"/>
        <w:ind w:left="85"/>
      </w:pPr>
      <w:r>
        <w:rPr>
          <w:rFonts w:ascii="Liberation Sans" w:hAnsi="Liberation Sans" w:eastAsia="Liberation Sans"/>
          <w:sz w:val="18"/>
        </w:rPr>
        <w:t>☐ Ajout : à compter du [DATE], [IDENTITÉ] devient cotitulaire / copreneur et accepte le bail d’origine et ses avenants. Ses obligations naissent à compter de cette date, sauf reprise expresse de dettes précisément identifiées : [________________].</w:t>
      </w:r>
    </w:p>
    <w:p>
      <w:pPr>
        <w:spacing w:after="30" w:line="240" w:lineRule="auto"/>
        <w:ind w:left="85"/>
      </w:pPr>
      <w:r>
        <w:rPr>
          <w:rFonts w:ascii="Liberation Sans" w:hAnsi="Liberation Sans" w:eastAsia="Liberation Sans"/>
          <w:sz w:val="18"/>
        </w:rPr>
        <w:t>☐ Substitution : à compter du [DATE], [NOUVELLE PARTIE] remplace [PARTIE SORTANTE]. La partie sortante est ☐ libérée pour les obligations postérieures au [DATE], sous réserve des dettes antérieures, ☐ non libérée selon les garanties valables du bail.</w:t>
      </w:r>
    </w:p>
    <w:p>
      <w:pPr>
        <w:spacing w:after="30" w:line="240" w:lineRule="auto"/>
        <w:ind w:left="85"/>
      </w:pPr>
      <w:r>
        <w:rPr>
          <w:rFonts w:ascii="Liberation Sans" w:hAnsi="Liberation Sans" w:eastAsia="Liberation Sans"/>
          <w:sz w:val="18"/>
        </w:rPr>
        <w:t>☐ Changement de bailleur / mandataire : nouvelles coordonnées contractuelles et de notification : [________________]. Cette mise à jour n’emporte pas novation.</w:t>
      </w:r>
    </w:p>
    <w:p>
      <w:pPr>
        <w:spacing w:after="40" w:line="240" w:lineRule="auto"/>
      </w:pPr>
      <w:r>
        <w:rPr>
          <w:b/>
          <w:sz w:val="18"/>
        </w:rPr>
        <w:t xml:space="preserve">Règle spéciale. </w:t>
      </w:r>
      <w:r>
        <w:rPr>
          <w:b/>
          <w:color w:val="1F4E79"/>
          <w:sz w:val="17"/>
        </w:rPr>
        <w:t xml:space="preserve">[HABITATION] </w:t>
      </w:r>
      <w:r>
        <w:rPr>
          <w:sz w:val="18"/>
        </w:rPr>
        <w:t>En colocation d’habitation, la solidarité du colocataire sortant et de sa caution prend fin à la date d’effet du congé lorsqu’un remplaçant figure au bail ; à défaut, au plus tard six mois après cette date, sauf libération plus favorable. Le dépôt de garantie reste attaché au bail jusqu’à la restitution finale des locaux et ne fait pas l’objet d’une quote-part restituée par le bailleur.</w:t>
      </w:r>
    </w:p>
    <w:p>
      <w:pPr>
        <w:spacing w:after="40" w:line="240" w:lineRule="auto"/>
      </w:pPr>
      <w:r>
        <w:rPr>
          <w:b/>
          <w:sz w:val="18"/>
        </w:rPr>
        <w:t xml:space="preserve">Règle spéciale. </w:t>
      </w:r>
      <w:r>
        <w:rPr>
          <w:b/>
          <w:color w:val="1F4E79"/>
          <w:sz w:val="17"/>
        </w:rPr>
        <w:t xml:space="preserve">[COMMERCIAL / PROFESSIONNEL] </w:t>
      </w:r>
      <w:r>
        <w:rPr>
          <w:sz w:val="18"/>
        </w:rPr>
        <w:t>Une cession, un apport, une substitution de société ou une transmission d’activité reste soumis aux clauses du bail, aux formalités légales et, le cas échéant, à l’agrément du bailleur. La libération du cédant doit être expresse.</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B</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DÉSIGNATION, USAGE OU ACTIVITÉ</w:t>
            </w:r>
            <w:r>
              <w:rPr>
                <w:rFonts w:ascii="Aptos" w:hAnsi="Aptos"/>
                <w:i/>
                <w:color w:val="E1EBF5"/>
                <w:sz w:val="17"/>
              </w:rPr>
              <w:t xml:space="preserve">  —  Tous régimes</w:t>
            </w:r>
          </w:p>
        </w:tc>
      </w:tr>
    </w:tbl>
    <w:p>
      <w:pPr>
        <w:spacing w:after="30" w:line="240" w:lineRule="auto"/>
        <w:ind w:left="85"/>
      </w:pPr>
      <w:r>
        <w:rPr>
          <w:rFonts w:ascii="Liberation Sans" w:hAnsi="Liberation Sans" w:eastAsia="Liberation Sans"/>
          <w:sz w:val="18"/>
        </w:rPr>
        <w:t>☐ La désignation des locaux est remplacée / complétée comme suit : [adresse, lots, surface, pièces, annexes, parkings, plan] : [____________________________________________________________].</w:t>
      </w:r>
    </w:p>
    <w:p>
      <w:pPr>
        <w:spacing w:after="30" w:line="240" w:lineRule="auto"/>
        <w:ind w:left="85"/>
      </w:pPr>
      <w:r>
        <w:rPr>
          <w:rFonts w:ascii="Liberation Sans" w:hAnsi="Liberation Sans" w:eastAsia="Liberation Sans"/>
          <w:sz w:val="18"/>
        </w:rPr>
        <w:t>☐ La destination / activité autorisée devient : [____________________________________________________________]. Les autorisations administratives, de copropriété, d’urbanisme, d’accessibilité et de sécurité restent à la charge de [BAILLEUR / PRENEUR] selon la loi et la nature des travaux.</w:t>
      </w:r>
    </w:p>
    <w:p>
      <w:pPr>
        <w:spacing w:after="40" w:line="240" w:lineRule="auto"/>
      </w:pPr>
      <w:r>
        <w:rPr>
          <w:b/>
          <w:sz w:val="18"/>
        </w:rPr>
        <w:t xml:space="preserve">Habitation. </w:t>
      </w:r>
      <w:r>
        <w:rPr>
          <w:b/>
          <w:color w:val="1F4E79"/>
          <w:sz w:val="17"/>
        </w:rPr>
        <w:t xml:space="preserve">[HABITATION] </w:t>
      </w:r>
      <w:r>
        <w:rPr>
          <w:sz w:val="18"/>
        </w:rPr>
        <w:t>Les locaux restent affectés à la résidence principale. Toute sous-location exige l’accord écrit du bailleur, y compris sur le prix.</w:t>
      </w:r>
    </w:p>
    <w:p>
      <w:pPr>
        <w:spacing w:after="40" w:line="240" w:lineRule="auto"/>
      </w:pPr>
      <w:r>
        <w:rPr>
          <w:b/>
          <w:sz w:val="18"/>
        </w:rPr>
        <w:t xml:space="preserve">Commercial. </w:t>
      </w:r>
      <w:r>
        <w:rPr>
          <w:b/>
          <w:color w:val="1F4E79"/>
          <w:sz w:val="17"/>
        </w:rPr>
        <w:t xml:space="preserve">[COMMERCIAL] </w:t>
      </w:r>
      <w:r>
        <w:rPr>
          <w:sz w:val="18"/>
        </w:rPr>
        <w:t>La modification doit respecter les règles de destination et, le cas échéant, de déspécialisation du statut des baux commerciaux.</w:t>
      </w:r>
    </w:p>
    <w:p>
      <w:pPr>
        <w:spacing w:after="40" w:line="240" w:lineRule="auto"/>
      </w:pPr>
      <w:r>
        <w:rPr>
          <w:b/>
          <w:sz w:val="18"/>
        </w:rPr>
        <w:t xml:space="preserve">Professionnel. </w:t>
      </w:r>
      <w:r>
        <w:rPr>
          <w:b/>
          <w:color w:val="1F4E79"/>
          <w:sz w:val="17"/>
        </w:rPr>
        <w:t xml:space="preserve">[PROFESSIONNEL] </w:t>
      </w:r>
      <w:r>
        <w:rPr>
          <w:sz w:val="18"/>
        </w:rPr>
        <w:t>Les locaux demeurent affectés à un usage exclusivement professionnel. Toute activité commerciale, artisanale ou industrielle ou toute occupation comme résidence principale impose de vérifier un autre régime.</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C</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LOYER, INDEXATION, REMISE OU FRANCHISE</w:t>
            </w:r>
            <w:r>
              <w:rPr>
                <w:rFonts w:ascii="Aptos" w:hAnsi="Aptos"/>
                <w:i/>
                <w:color w:val="E1EBF5"/>
                <w:sz w:val="17"/>
              </w:rPr>
              <w:t xml:space="preserve">  —  Choisir une seule option principale</w:t>
            </w:r>
          </w:p>
        </w:tc>
      </w:tr>
    </w:tbl>
    <w:p>
      <w:pPr>
        <w:spacing w:after="30" w:line="240" w:lineRule="auto"/>
        <w:ind w:left="85"/>
      </w:pPr>
      <w:r>
        <w:rPr>
          <w:rFonts w:ascii="Liberation Sans" w:hAnsi="Liberation Sans" w:eastAsia="Liberation Sans"/>
          <w:sz w:val="18"/>
        </w:rPr>
        <w:t>☐ Réduction / remise temporaire : réduction de [MONTANT] € pour la période du [DATE] au [DATE]. Le loyer redevient automatiquement [MONTANT] € à compter du [DATE], sous réserve des révisions licites.</w:t>
      </w:r>
    </w:p>
    <w:p>
      <w:pPr>
        <w:spacing w:after="30" w:line="240" w:lineRule="auto"/>
        <w:ind w:left="85"/>
      </w:pPr>
      <w:r>
        <w:rPr>
          <w:rFonts w:ascii="Liberation Sans" w:hAnsi="Liberation Sans" w:eastAsia="Liberation Sans"/>
          <w:sz w:val="18"/>
        </w:rPr>
        <w:t>☐ Nouveau loyer convenu : à compter du [DATE], le loyer est fixé à [MONTANT EN CHIFFRES ET LETTRES] € ☐ HT ☐ TTC ☐ HC ☐ CC par ☐ mois ☐ trimestre, payable ☐ d’avance ☐ à terme échu.</w:t>
      </w:r>
    </w:p>
    <w:p>
      <w:pPr>
        <w:spacing w:after="30" w:line="240" w:lineRule="auto"/>
        <w:ind w:left="85"/>
      </w:pPr>
      <w:r>
        <w:rPr>
          <w:rFonts w:ascii="Liberation Sans" w:hAnsi="Liberation Sans" w:eastAsia="Liberation Sans"/>
          <w:sz w:val="18"/>
        </w:rPr>
        <w:t>☐ Indexation : loyer de référence [___] € × nouvel indice [___] / indice de base [___]. Indice choisi : ☐ IRL ☐ ILC ☐ ILAT ☐ autre indice licite : [___]. Date de révision : [___].</w:t>
      </w:r>
    </w:p>
    <w:p>
      <w:pPr>
        <w:spacing w:after="30" w:line="240" w:lineRule="auto"/>
        <w:ind w:left="85"/>
      </w:pPr>
      <w:r>
        <w:rPr>
          <w:rFonts w:ascii="Liberation Sans" w:hAnsi="Liberation Sans" w:eastAsia="Liberation Sans"/>
          <w:sz w:val="18"/>
        </w:rPr>
        <w:t>☐ Majoration liée à des travaux : travaux d’amélioration [description] ; achèvement prévu le [DATE] ; majoration de [MONTANT] € à compter de leur achèvement constaté.</w:t>
      </w:r>
    </w:p>
    <w:p>
      <w:pPr>
        <w:spacing w:after="30" w:line="240" w:lineRule="auto"/>
        <w:ind w:left="85"/>
      </w:pPr>
      <w:r>
        <w:rPr>
          <w:rFonts w:ascii="Liberation Sans" w:hAnsi="Liberation Sans" w:eastAsia="Liberation Sans"/>
          <w:sz w:val="18"/>
        </w:rPr>
        <w:t>☐ Franchise conditionnelle : franchise de [MONTANT / DURÉE] du [DATE] au [DATE], en contrepartie de [travaux / engagement], justificatifs à produire avant le [DATE]. Sort des charges pendant la franchise : ☐ dues ☐ incluses.</w:t>
      </w:r>
    </w:p>
    <w:p>
      <w:pPr>
        <w:spacing w:after="40" w:line="240" w:lineRule="auto"/>
      </w:pPr>
      <w:r>
        <w:rPr>
          <w:b/>
          <w:sz w:val="18"/>
        </w:rPr>
        <w:t xml:space="preserve">Règles impératives. </w:t>
      </w:r>
      <w:r>
        <w:rPr>
          <w:b/>
          <w:color w:val="1F4E79"/>
          <w:sz w:val="17"/>
        </w:rPr>
        <w:t xml:space="preserve">[HABITATION] </w:t>
      </w:r>
      <w:r>
        <w:rPr>
          <w:sz w:val="18"/>
        </w:rPr>
        <w:t>L’IRL ne peut être appliqué que si le bail prévoit la révision ; elle prend effet à compter de la demande et n’est pas rétroactive au-delà de la loi. La révision et la majoration pour travaux sont interdites pour les logements classés F ou G. La réévaluation au renouvellement obéit à une procédure spécifique et ne doit pas être remplacée par une simple case cochée.</w:t>
      </w:r>
    </w:p>
    <w:p>
      <w:pPr>
        <w:spacing w:after="40" w:line="240" w:lineRule="auto"/>
      </w:pPr>
      <w:r>
        <w:rPr>
          <w:b/>
          <w:sz w:val="18"/>
        </w:rPr>
        <w:t xml:space="preserve">Règles impératives. </w:t>
      </w:r>
      <w:r>
        <w:rPr>
          <w:b/>
          <w:color w:val="1F4E79"/>
          <w:sz w:val="17"/>
        </w:rPr>
        <w:t xml:space="preserve">[COMMERCIAL] </w:t>
      </w:r>
      <w:r>
        <w:rPr>
          <w:sz w:val="18"/>
        </w:rPr>
        <w:t>L’indice doit avoir un lien direct avec l’objet du bail ou l’activité et la clause doit fonctionner à la hausse comme à la baisse. Pour les activités visées à l’article L. 145-32-1, le paiement mensuel est de droit sur demande du preneur, sous les conditions légales.</w:t>
      </w:r>
    </w:p>
    <w:p>
      <w:pPr>
        <w:spacing w:after="40" w:line="240" w:lineRule="auto"/>
      </w:pPr>
      <w:r>
        <w:rPr>
          <w:b/>
          <w:sz w:val="18"/>
        </w:rPr>
        <w:t xml:space="preserve">Règle impérative. </w:t>
      </w:r>
      <w:r>
        <w:rPr>
          <w:b/>
          <w:color w:val="1F4E79"/>
          <w:sz w:val="17"/>
        </w:rPr>
        <w:t xml:space="preserve">[PROFESSIONNEL] </w:t>
      </w:r>
      <w:r>
        <w:rPr>
          <w:sz w:val="18"/>
        </w:rPr>
        <w:t>L’indexation doit reposer sur un indice en lien direct avec le bail ou l’activité ; l’ILAT est généralement adapté aux activités tertiaires.</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D</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CHARGES, IMPÔTS, TAXES ET SERVICES</w:t>
            </w:r>
            <w:r>
              <w:rPr>
                <w:rFonts w:ascii="Aptos" w:hAnsi="Aptos"/>
                <w:i/>
                <w:color w:val="E1EBF5"/>
                <w:sz w:val="17"/>
              </w:rPr>
              <w:t xml:space="preserve">  —  Tous régimes</w:t>
            </w:r>
          </w:p>
        </w:tc>
      </w:tr>
    </w:tbl>
    <w:p>
      <w:pPr>
        <w:spacing w:after="30" w:line="240" w:lineRule="auto"/>
        <w:ind w:left="85"/>
      </w:pPr>
      <w:r>
        <w:rPr>
          <w:rFonts w:ascii="Liberation Sans" w:hAnsi="Liberation Sans" w:eastAsia="Liberation Sans"/>
          <w:sz w:val="18"/>
        </w:rPr>
        <w:t>☐ Provision avec régularisation : [MONTANT] € par [PÉRIODE], régularisation [ANNUELLE] sur justificatifs.</w:t>
      </w:r>
    </w:p>
    <w:p>
      <w:pPr>
        <w:spacing w:after="30" w:line="240" w:lineRule="auto"/>
        <w:ind w:left="85"/>
      </w:pPr>
      <w:r>
        <w:rPr>
          <w:rFonts w:ascii="Liberation Sans" w:hAnsi="Liberation Sans" w:eastAsia="Liberation Sans"/>
          <w:sz w:val="18"/>
        </w:rPr>
        <w:t>☐ Forfait de charges : [MONTANT] € par [PÉRIODE], uniquement lorsque ce mode est légalement admis et sans régularisation.</w:t>
      </w:r>
    </w:p>
    <w:p>
      <w:pPr>
        <w:spacing w:after="30" w:line="240" w:lineRule="auto"/>
        <w:ind w:left="85"/>
      </w:pPr>
      <w:r>
        <w:rPr>
          <w:rFonts w:ascii="Liberation Sans" w:hAnsi="Liberation Sans" w:eastAsia="Liberation Sans"/>
          <w:sz w:val="18"/>
        </w:rPr>
        <w:t>☐ Répartition détaillée selon l’Annexe 1 jointe au présent avenant, qui remplace / complète l’annexe [N°] du bail.</w:t>
      </w:r>
    </w:p>
    <w:p>
      <w:pPr>
        <w:spacing w:after="40" w:line="240" w:lineRule="auto"/>
      </w:pPr>
      <w:r>
        <w:rPr>
          <w:b/>
          <w:sz w:val="18"/>
        </w:rPr>
        <w:t xml:space="preserve">Habitation. </w:t>
      </w:r>
      <w:r>
        <w:rPr>
          <w:b/>
          <w:color w:val="1F4E79"/>
          <w:sz w:val="17"/>
        </w:rPr>
        <w:t xml:space="preserve">[HABITATION] </w:t>
      </w:r>
      <w:r>
        <w:rPr>
          <w:sz w:val="18"/>
        </w:rPr>
        <w:t>Seules les charges récupérables peuvent être imputées au locataire ; la provision est régularisée annuellement. Le forfait n’est utilisable que dans les cas autorisés par la loi.</w:t>
      </w:r>
    </w:p>
    <w:p>
      <w:pPr>
        <w:spacing w:after="40" w:line="240" w:lineRule="auto"/>
      </w:pPr>
      <w:r>
        <w:rPr>
          <w:b/>
          <w:sz w:val="18"/>
        </w:rPr>
        <w:t xml:space="preserve">Commercial. </w:t>
      </w:r>
      <w:r>
        <w:rPr>
          <w:b/>
          <w:color w:val="1F4E79"/>
          <w:sz w:val="17"/>
        </w:rPr>
        <w:t xml:space="preserve">[COMMERCIAL] </w:t>
      </w:r>
      <w:r>
        <w:rPr>
          <w:sz w:val="18"/>
        </w:rPr>
        <w:t>L’inventaire doit être précis et limitatif. Les grosses réparations de l’article 606 du Code civil, certains travaux de vétusté ou de mise en conformité, les honoraires de gestion des loyers et les charges de locaux vacants ou d’autres locataires ne peuvent pas être transférés au preneur dans les cas prévus par l’article R. 145-35.</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E</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DÉPÔT DE GARANTIE, CAUTION ET AUTRES GARANTIES</w:t>
            </w:r>
            <w:r>
              <w:rPr>
                <w:rFonts w:ascii="Aptos" w:hAnsi="Aptos"/>
                <w:i/>
                <w:color w:val="E1EBF5"/>
                <w:sz w:val="17"/>
              </w:rPr>
              <w:t xml:space="preserve">  —  Tous régimes</w:t>
            </w:r>
          </w:p>
        </w:tc>
      </w:tr>
    </w:tbl>
    <w:p>
      <w:pPr>
        <w:spacing w:after="30" w:line="240" w:lineRule="auto"/>
        <w:ind w:left="85"/>
      </w:pPr>
      <w:r>
        <w:rPr>
          <w:rFonts w:ascii="Liberation Sans" w:hAnsi="Liberation Sans" w:eastAsia="Liberation Sans"/>
          <w:sz w:val="18"/>
        </w:rPr>
        <w:t>☐ Aucune modification du dépôt de garantie ni des garanties existantes.</w:t>
      </w:r>
    </w:p>
    <w:p>
      <w:pPr>
        <w:spacing w:after="30" w:line="240" w:lineRule="auto"/>
        <w:ind w:left="85"/>
      </w:pPr>
      <w:r>
        <w:rPr>
          <w:rFonts w:ascii="Liberation Sans" w:hAnsi="Liberation Sans" w:eastAsia="Liberation Sans"/>
          <w:sz w:val="18"/>
        </w:rPr>
        <w:t>☐ Nouveau montant du dépôt : [MONTANT] € ; complément / remboursement : [MONTANT] € le [DATE] — uniquement si le régime choisi l’autorise.</w:t>
      </w:r>
    </w:p>
    <w:p>
      <w:pPr>
        <w:spacing w:after="30" w:line="240" w:lineRule="auto"/>
        <w:ind w:left="85"/>
      </w:pPr>
      <w:r>
        <w:rPr>
          <w:rFonts w:ascii="Liberation Sans" w:hAnsi="Liberation Sans" w:eastAsia="Liberation Sans"/>
          <w:sz w:val="18"/>
        </w:rPr>
        <w:t>☐ Nouvelle caution / garantie : [IDENTITÉ ET NATURE]. Un acte distinct conforme est annexé. La signature du présent avenant ne vaut pas, à elle seule, extension automatique d’un cautionnement existant.</w:t>
      </w:r>
    </w:p>
    <w:p>
      <w:pPr>
        <w:spacing w:after="30" w:line="240" w:lineRule="auto"/>
        <w:ind w:left="85"/>
      </w:pPr>
      <w:r>
        <w:rPr>
          <w:rFonts w:ascii="Liberation Sans" w:hAnsi="Liberation Sans" w:eastAsia="Liberation Sans"/>
          <w:sz w:val="18"/>
        </w:rPr>
        <w:t>☐ Libération de la caution / garantie de [NOM] pour les obligations nées après le [DATE], sans renonciation aux créances antérieures.</w:t>
      </w:r>
    </w:p>
    <w:p>
      <w:pPr>
        <w:spacing w:after="40" w:line="240" w:lineRule="auto"/>
      </w:pPr>
      <w:r>
        <w:rPr>
          <w:b/>
          <w:sz w:val="18"/>
        </w:rPr>
        <w:t xml:space="preserve">Règle impérative. </w:t>
      </w:r>
      <w:r>
        <w:rPr>
          <w:b/>
          <w:color w:val="1F4E79"/>
          <w:sz w:val="17"/>
        </w:rPr>
        <w:t xml:space="preserve">[HABITATION] </w:t>
      </w:r>
      <w:r>
        <w:rPr>
          <w:sz w:val="18"/>
        </w:rPr>
        <w:t>Le dépôt de garantie ne peut être révisé pendant l’exécution du bail, même renouvelé.</w:t>
      </w:r>
    </w:p>
    <w:p>
      <w:pPr>
        <w:spacing w:after="40" w:line="240" w:lineRule="auto"/>
      </w:pPr>
      <w:r>
        <w:rPr>
          <w:b/>
          <w:sz w:val="18"/>
        </w:rPr>
        <w:t xml:space="preserve">Règles 2026. </w:t>
      </w:r>
      <w:r>
        <w:rPr>
          <w:b/>
          <w:color w:val="1F4E79"/>
          <w:sz w:val="17"/>
        </w:rPr>
        <w:t xml:space="preserve">[COMMERCIAL] </w:t>
      </w:r>
      <w:r>
        <w:rPr>
          <w:sz w:val="18"/>
        </w:rPr>
        <w:t>Pour les locaux et activités visés à l’article L. 145-32-1, les garanties demandées pour les baux conclus ou renouvelés depuis le 28 mai 2026 sont plafonnées à un trimestre de loyer. Les garanties sont restituées dans les délais prévus par l’article L. 145-40.</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F</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TRAVAUX, AMÉNAGEMENTS ET REMISE EN ÉTAT</w:t>
            </w:r>
            <w:r>
              <w:rPr>
                <w:rFonts w:ascii="Aptos" w:hAnsi="Aptos"/>
                <w:i/>
                <w:color w:val="E1EBF5"/>
                <w:sz w:val="17"/>
              </w:rPr>
              <w:t xml:space="preserve">  —  Tous régimes</w:t>
            </w:r>
          </w:p>
        </w:tc>
      </w:tr>
    </w:tbl>
    <w:p>
      <w:pPr>
        <w:spacing w:after="30" w:line="240" w:lineRule="auto"/>
        <w:ind w:left="85"/>
      </w:pPr>
      <w:r>
        <w:rPr>
          <w:rFonts w:ascii="Liberation Sans" w:hAnsi="Liberation Sans" w:eastAsia="Liberation Sans"/>
          <w:sz w:val="18"/>
        </w:rPr>
        <w:t>☐ Travaux autorisés / imposés : [DESCRIPTION, PLANS, MATÉRIAUX, ENTREPRISES, CALENDRIER] : [____________________________________________________________].</w:t>
      </w:r>
    </w:p>
    <w:p>
      <w:pPr>
        <w:spacing w:after="30" w:line="240" w:lineRule="auto"/>
        <w:ind w:left="85"/>
      </w:pPr>
      <w:r>
        <w:rPr>
          <w:rFonts w:ascii="Liberation Sans" w:hAnsi="Liberation Sans" w:eastAsia="Liberation Sans"/>
          <w:sz w:val="18"/>
        </w:rPr>
        <w:t>☐ Répartition des coûts : Bailleur [___] € / Preneur [___] €. Assurances et autorisations à produire avant le [DATE].</w:t>
      </w:r>
    </w:p>
    <w:p>
      <w:pPr>
        <w:spacing w:after="30" w:line="240" w:lineRule="auto"/>
        <w:ind w:left="85"/>
      </w:pPr>
      <w:r>
        <w:rPr>
          <w:rFonts w:ascii="Liberation Sans" w:hAnsi="Liberation Sans" w:eastAsia="Liberation Sans"/>
          <w:sz w:val="18"/>
        </w:rPr>
        <w:t>☐ Sort des aménagements en fin de bail : ☐ acquis sans indemnité ☐ remise en état ☐ indemnité de [MONTANT / FORMULE].</w:t>
      </w:r>
    </w:p>
    <w:p>
      <w:pPr>
        <w:spacing w:after="30" w:line="240" w:lineRule="auto"/>
        <w:ind w:left="85"/>
      </w:pPr>
      <w:r>
        <w:rPr>
          <w:rFonts w:ascii="Liberation Sans" w:hAnsi="Liberation Sans" w:eastAsia="Liberation Sans"/>
          <w:sz w:val="18"/>
        </w:rPr>
        <w:t>☐ Un constat / état des lieux contradictoire et des photographies sont annexés.</w:t>
      </w:r>
    </w:p>
    <w:p>
      <w:pPr>
        <w:spacing w:after="60" w:before="0" w:line="245" w:lineRule="auto"/>
      </w:pPr>
      <w:r>
        <w:rPr>
          <w:i w:val="0"/>
          <w:sz w:val="17"/>
        </w:rPr>
        <w:t>Les obligations légales de délivrance, de décence, de sécurité et les réparations qui ne peuvent pas être transférées restent à la charge de la partie légalement tenue.</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G</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CESSION / SOUS-LOCATION / MISE À DISPOSITION</w:t>
            </w:r>
            <w:r>
              <w:rPr>
                <w:rFonts w:ascii="Aptos" w:hAnsi="Aptos"/>
                <w:i/>
                <w:color w:val="E1EBF5"/>
                <w:sz w:val="17"/>
              </w:rPr>
              <w:t xml:space="preserve">  —  Autorisation spéciale</w:t>
            </w:r>
          </w:p>
        </w:tc>
      </w:tr>
    </w:tbl>
    <w:p>
      <w:pPr>
        <w:spacing w:after="30" w:line="240" w:lineRule="auto"/>
        <w:ind w:left="85"/>
      </w:pPr>
      <w:r>
        <w:rPr>
          <w:rFonts w:ascii="Liberation Sans" w:hAnsi="Liberation Sans" w:eastAsia="Liberation Sans"/>
          <w:sz w:val="18"/>
        </w:rPr>
        <w:t>☐ Le Bailleur autorise exclusivement l’opération suivante : ☐ cession ☐ sous-location ☐ mise à disposition au profit de [IDENTITÉ], pour [SURFACE / USAGE], du [DATE] au [DATE], au prix de [MONTANT] € et aux conditions suivantes : [________________].</w:t>
      </w:r>
    </w:p>
    <w:p>
      <w:pPr>
        <w:spacing w:after="30" w:line="240" w:lineRule="auto"/>
        <w:ind w:left="85"/>
      </w:pPr>
      <w:r>
        <w:rPr>
          <w:rFonts w:ascii="Liberation Sans" w:hAnsi="Liberation Sans" w:eastAsia="Liberation Sans"/>
          <w:sz w:val="18"/>
        </w:rPr>
        <w:t>☐ Le Preneur principal reste tenu de toutes les obligations du bail sauf libération expresse suivante : [________________].</w:t>
      </w:r>
    </w:p>
    <w:p>
      <w:pPr>
        <w:spacing w:after="40" w:line="240" w:lineRule="auto"/>
      </w:pPr>
      <w:r>
        <w:rPr>
          <w:b/>
          <w:sz w:val="18"/>
        </w:rPr>
        <w:t xml:space="preserve">Habitation. </w:t>
      </w:r>
      <w:r>
        <w:rPr>
          <w:b/>
          <w:color w:val="1F4E79"/>
          <w:sz w:val="17"/>
        </w:rPr>
        <w:t xml:space="preserve">[HABITATION] </w:t>
      </w:r>
      <w:r>
        <w:rPr>
          <w:sz w:val="18"/>
        </w:rPr>
        <w:t>L’autorisation écrite doit porter également sur le prix ; le loyer au mètre carré sous-loué ne peut excéder celui payé par le locataire principal.</w:t>
      </w:r>
    </w:p>
    <w:p>
      <w:pPr>
        <w:spacing w:after="40" w:line="240" w:lineRule="auto"/>
      </w:pPr>
      <w:r>
        <w:rPr>
          <w:b/>
          <w:sz w:val="18"/>
        </w:rPr>
        <w:t xml:space="preserve">Commercial / professionnel. </w:t>
      </w:r>
      <w:r>
        <w:rPr>
          <w:b/>
          <w:color w:val="1F4E79"/>
          <w:sz w:val="17"/>
        </w:rPr>
        <w:t xml:space="preserve">[COMMERCIAL / PROFESSIONNEL] </w:t>
      </w:r>
      <w:r>
        <w:rPr>
          <w:sz w:val="18"/>
        </w:rPr>
        <w:t>Respecter les clauses d’agrément, les formalités de cession, la destination et les règles propres à l’activité. L’autorisation est limitée à l’opération décrite.</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H</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DURÉE, PROROGATION OU RENOUVELLEMENT</w:t>
            </w:r>
            <w:r>
              <w:rPr>
                <w:rFonts w:ascii="Aptos" w:hAnsi="Aptos"/>
                <w:i/>
                <w:color w:val="E1EBF5"/>
                <w:sz w:val="17"/>
              </w:rPr>
              <w:t xml:space="preserve">  —  Si juridiquement approprié</w:t>
            </w:r>
          </w:p>
        </w:tc>
      </w:tr>
    </w:tbl>
    <w:p>
      <w:pPr>
        <w:spacing w:after="30" w:line="240" w:lineRule="auto"/>
        <w:ind w:left="85"/>
      </w:pPr>
      <w:r>
        <w:rPr>
          <w:rFonts w:ascii="Liberation Sans" w:hAnsi="Liberation Sans" w:eastAsia="Liberation Sans"/>
          <w:sz w:val="18"/>
        </w:rPr>
        <w:t>☐ Prorogation : le terme est reporté du [DATE] au [DATE], sans autre modification.</w:t>
      </w:r>
    </w:p>
    <w:p>
      <w:pPr>
        <w:spacing w:after="30" w:line="240" w:lineRule="auto"/>
        <w:ind w:left="85"/>
      </w:pPr>
      <w:r>
        <w:rPr>
          <w:rFonts w:ascii="Liberation Sans" w:hAnsi="Liberation Sans" w:eastAsia="Liberation Sans"/>
          <w:sz w:val="18"/>
        </w:rPr>
        <w:t>☐ Renouvellement : le bail est renouvelé à compter du [DATE] jusqu’au [DATE], pour une durée de [___] ans, aux conditions du bail d’origine modifiées par le présent avenant.</w:t>
      </w:r>
    </w:p>
    <w:p>
      <w:pPr>
        <w:spacing w:after="40" w:line="240" w:lineRule="auto"/>
      </w:pPr>
      <w:r>
        <w:rPr>
          <w:b/>
          <w:sz w:val="18"/>
        </w:rPr>
        <w:t xml:space="preserve">Habitation. </w:t>
      </w:r>
      <w:r>
        <w:rPr>
          <w:b/>
          <w:color w:val="1F4E79"/>
          <w:sz w:val="17"/>
        </w:rPr>
        <w:t xml:space="preserve">[HABITATION] </w:t>
      </w:r>
      <w:r>
        <w:rPr>
          <w:sz w:val="18"/>
        </w:rPr>
        <w:t>L’avenant ne peut pas réduire les durées légales, modifier les règles de congé ni contourner la procédure de réévaluation du loyer au renouvellement.</w:t>
      </w:r>
    </w:p>
    <w:p>
      <w:pPr>
        <w:spacing w:after="40" w:line="240" w:lineRule="auto"/>
      </w:pPr>
      <w:r>
        <w:rPr>
          <w:b/>
          <w:sz w:val="18"/>
        </w:rPr>
        <w:t xml:space="preserve">Commercial. </w:t>
      </w:r>
      <w:r>
        <w:rPr>
          <w:b/>
          <w:color w:val="1F4E79"/>
          <w:sz w:val="17"/>
        </w:rPr>
        <w:t xml:space="preserve">[COMMERCIAL] </w:t>
      </w:r>
      <w:r>
        <w:rPr>
          <w:sz w:val="18"/>
        </w:rPr>
        <w:t>Le renouvellement doit être cohérent avec les actes, délais et droits du statut des baux commerciaux. Durée retenue : [___] ans ; facultés de résiliation : [________________].</w:t>
      </w:r>
    </w:p>
    <w:p>
      <w:pPr>
        <w:spacing w:after="40" w:line="240" w:lineRule="auto"/>
      </w:pPr>
      <w:r>
        <w:rPr>
          <w:b/>
          <w:sz w:val="18"/>
        </w:rPr>
        <w:t xml:space="preserve">Professionnel. </w:t>
      </w:r>
      <w:r>
        <w:rPr>
          <w:b/>
          <w:color w:val="1F4E79"/>
          <w:sz w:val="17"/>
        </w:rPr>
        <w:t xml:space="preserve">[PROFESSIONNEL] </w:t>
      </w:r>
      <w:r>
        <w:rPr>
          <w:sz w:val="18"/>
        </w:rPr>
        <w:t>Durée minimale : six ans. Le locataire peut partir à tout moment avec un préavis de six mois ; chaque partie peut refuser le renouvellement à l’échéance avec le même préavis.</w:t>
      </w:r>
    </w:p>
    <w:tbl>
      <w:tblPr>
        <w:tblW w:type="auto" w:w="0"/>
        <w:jc w:val="center"/>
        <w:tblLayout w:type="fixed"/>
        <w:tblLook w:firstColumn="1" w:firstRow="1" w:lastColumn="0" w:lastRow="0" w:noHBand="0" w:noVBand="1" w:val="04A0"/>
      </w:tblPr>
      <w:tblGrid>
        <w:gridCol w:w="794"/>
        <w:gridCol w:w="8731"/>
      </w:tblGrid>
      <w:tr>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jc w:val="center"/>
            </w:pPr>
            <w:r>
              <w:rPr>
                <w:rFonts w:ascii="Aptos" w:hAnsi="Aptos"/>
                <w:b/>
                <w:color w:val="FFFFFF"/>
                <w:sz w:val="20"/>
              </w:rPr>
              <w:t>I</w:t>
            </w:r>
          </w:p>
        </w:tc>
        <w:tc>
          <w:tcPr>
            <w:tcW w:type="dxa" w:w="5241"/>
            <w:shd w:fill="1F4E79"/>
            <w:tcBorders>
              <w:top w:val="single" w:sz="4" w:color="1F4E79"/>
              <w:left w:val="single" w:sz="4" w:color="1F4E79"/>
              <w:bottom w:val="single" w:sz="4" w:color="1F4E79"/>
              <w:right w:val="single" w:sz="4" w:color="1F4E79"/>
            </w:tcBorders>
            <w:tcMar>
              <w:top w:w="60" w:type="dxa"/>
              <w:start w:w="90" w:type="dxa"/>
              <w:bottom w:w="60" w:type="dxa"/>
              <w:end w:w="90" w:type="dxa"/>
            </w:tcMar>
          </w:tcPr>
          <w:p>
            <w:pPr>
              <w:spacing w:after="0"/>
              <w:keepNext/>
            </w:pPr>
            <w:r>
              <w:rPr>
                <w:rFonts w:ascii="Aptos" w:hAnsi="Aptos"/>
                <w:b/>
                <w:color w:val="FFFFFF"/>
                <w:sz w:val="20"/>
              </w:rPr>
              <w:t>AUTRE MODIFICATION</w:t>
            </w:r>
            <w:r>
              <w:rPr>
                <w:rFonts w:ascii="Aptos" w:hAnsi="Aptos"/>
                <w:i/>
                <w:color w:val="E1EBF5"/>
                <w:sz w:val="17"/>
              </w:rPr>
              <w:t xml:space="preserve">  —  Tous régimes</w:t>
            </w:r>
          </w:p>
        </w:tc>
      </w:tr>
    </w:tbl>
    <w:p>
      <w:pPr>
        <w:spacing w:after="50" w:before="0" w:line="245" w:lineRule="auto"/>
      </w:pPr>
      <w:r>
        <w:rPr>
          <w:b/>
          <w:sz w:val="18"/>
        </w:rPr>
        <w:t>Clause du bail remplacée / ajoutée :</w:t>
      </w:r>
      <w:r>
        <w:rPr>
          <w:sz w:val="18"/>
        </w:rPr>
        <w:t xml:space="preserve"> [N° et intitulé].</w:t>
      </w:r>
    </w:p>
    <w:p>
      <w:pPr>
        <w:spacing w:after="50" w:before="0" w:line="245" w:lineRule="auto"/>
      </w:pPr>
      <w:r>
        <w:rPr>
          <w:b/>
          <w:sz w:val="18"/>
        </w:rPr>
        <w:t>Nouvelle rédaction complète :</w:t>
      </w:r>
      <w:r>
        <w:rPr>
          <w:sz w:val="18"/>
        </w:rPr>
      </w:r>
    </w:p>
    <w:p>
      <w:pPr>
        <w:spacing w:after="20"/>
      </w:pPr>
      <w:r>
        <w:rPr>
          <w:color w:val="828C96"/>
          <w:sz w:val="17"/>
        </w:rPr>
        <w:t>........................................................................................................................................................................</w:t>
      </w:r>
    </w:p>
    <w:p>
      <w:pPr>
        <w:spacing w:after="20"/>
      </w:pPr>
      <w:r>
        <w:rPr>
          <w:color w:val="828C96"/>
          <w:sz w:val="17"/>
        </w:rPr>
        <w:t>........................................................................................................................................................................</w:t>
      </w:r>
    </w:p>
    <w:p>
      <w:pPr>
        <w:spacing w:after="20"/>
      </w:pPr>
      <w:r>
        <w:rPr>
          <w:color w:val="828C96"/>
          <w:sz w:val="17"/>
        </w:rPr>
        <w:t>........................................................................................................................................................................</w:t>
      </w:r>
    </w:p>
    <w:p>
      <w:pPr>
        <w:spacing w:after="20"/>
      </w:pPr>
      <w:r>
        <w:rPr>
          <w:color w:val="828C96"/>
          <w:sz w:val="17"/>
        </w:rPr>
        <w:t>........................................................................................................................................................................</w:t>
      </w:r>
    </w:p>
    <w:p>
      <w:pPr>
        <w:pStyle w:val="Heading1"/>
        <w:keepNext/>
      </w:pPr>
      <w:r>
        <w:t>6. DISPOSITIONS FINALES</w:t>
      </w:r>
    </w:p>
    <w:p>
      <w:pPr>
        <w:spacing w:after="40" w:line="240" w:lineRule="auto"/>
      </w:pPr>
      <w:r>
        <w:rPr>
          <w:b/>
          <w:sz w:val="18"/>
        </w:rPr>
        <w:t xml:space="preserve">Article 3 — Annexes. </w:t>
      </w:r>
      <w:r>
        <w:rPr>
          <w:sz w:val="18"/>
        </w:rPr>
        <w:t>Les annexes cochées ci-dessous font partie intégrante de l’avenant.</w:t>
      </w:r>
    </w:p>
    <w:tbl>
      <w:tblPr>
        <w:tblW w:type="auto" w:w="0"/>
        <w:jc w:val="center"/>
        <w:tblLook w:firstColumn="1" w:firstRow="1" w:lastColumn="0" w:lastRow="0" w:noHBand="0" w:noVBand="1" w:val="04A0"/>
      </w:tblPr>
      <w:tblGrid>
        <w:gridCol w:w="5241"/>
        <w:gridCol w:w="5241"/>
      </w:tblGrid>
      <w:tr>
        <w:tc>
          <w:tcPr>
            <w:tcW w:type="dxa" w:w="5241"/>
            <w:tcMar>
              <w:top w:w="45" w:type="dxa"/>
              <w:start w:w="60" w:type="dxa"/>
              <w:bottom w:w="45" w:type="dxa"/>
              <w:end w:w="60" w:type="dxa"/>
            </w:tcMar>
          </w:tcPr>
          <w:p>
            <w:pPr>
              <w:spacing w:after="0"/>
            </w:pPr>
            <w:r>
              <w:rPr>
                <w:rFonts w:ascii="Liberation Sans" w:hAnsi="Liberation Sans" w:eastAsia="Liberation Sans"/>
                <w:sz w:val="17"/>
              </w:rPr>
              <w:t>☐ Copie du bail et des avenants antérieurs</w:t>
            </w:r>
          </w:p>
        </w:tc>
        <w:tc>
          <w:tcPr>
            <w:tcW w:type="dxa" w:w="5241"/>
            <w:tcMar>
              <w:top w:w="45" w:type="dxa"/>
              <w:start w:w="60" w:type="dxa"/>
              <w:bottom w:w="45" w:type="dxa"/>
              <w:end w:w="60" w:type="dxa"/>
            </w:tcMar>
          </w:tcPr>
          <w:p>
            <w:pPr>
              <w:spacing w:after="0"/>
            </w:pPr>
            <w:r>
              <w:rPr>
                <w:rFonts w:ascii="Liberation Sans" w:hAnsi="Liberation Sans" w:eastAsia="Liberation Sans"/>
                <w:sz w:val="17"/>
              </w:rPr>
              <w:t>☐ Plan / nouvelle désignation des locaux</w:t>
            </w:r>
          </w:p>
        </w:tc>
      </w:tr>
      <w:tr>
        <w:tc>
          <w:tcPr>
            <w:tcW w:type="dxa" w:w="5241"/>
            <w:tcMar>
              <w:top w:w="45" w:type="dxa"/>
              <w:start w:w="60" w:type="dxa"/>
              <w:bottom w:w="45" w:type="dxa"/>
              <w:end w:w="60" w:type="dxa"/>
            </w:tcMar>
          </w:tcPr>
          <w:p>
            <w:pPr>
              <w:spacing w:after="0"/>
            </w:pPr>
            <w:r>
              <w:rPr>
                <w:rFonts w:ascii="Liberation Sans" w:hAnsi="Liberation Sans" w:eastAsia="Liberation Sans"/>
                <w:sz w:val="17"/>
              </w:rPr>
              <w:t>☐ État des lieux / constat / photographies</w:t>
            </w:r>
          </w:p>
        </w:tc>
        <w:tc>
          <w:tcPr>
            <w:tcW w:type="dxa" w:w="5241"/>
            <w:tcMar>
              <w:top w:w="45" w:type="dxa"/>
              <w:start w:w="60" w:type="dxa"/>
              <w:bottom w:w="45" w:type="dxa"/>
              <w:end w:w="60" w:type="dxa"/>
            </w:tcMar>
          </w:tcPr>
          <w:p>
            <w:pPr>
              <w:spacing w:after="0"/>
            </w:pPr>
            <w:r>
              <w:rPr>
                <w:rFonts w:ascii="Liberation Sans" w:hAnsi="Liberation Sans" w:eastAsia="Liberation Sans"/>
                <w:sz w:val="17"/>
              </w:rPr>
              <w:t>☐ Calcul du loyer et indices</w:t>
            </w:r>
          </w:p>
        </w:tc>
      </w:tr>
      <w:tr>
        <w:tc>
          <w:tcPr>
            <w:tcW w:type="dxa" w:w="5241"/>
            <w:tcMar>
              <w:top w:w="45" w:type="dxa"/>
              <w:start w:w="60" w:type="dxa"/>
              <w:bottom w:w="45" w:type="dxa"/>
              <w:end w:w="60" w:type="dxa"/>
            </w:tcMar>
          </w:tcPr>
          <w:p>
            <w:pPr>
              <w:spacing w:after="0"/>
            </w:pPr>
            <w:r>
              <w:rPr>
                <w:rFonts w:ascii="Liberation Sans" w:hAnsi="Liberation Sans" w:eastAsia="Liberation Sans"/>
                <w:sz w:val="17"/>
              </w:rPr>
              <w:t>☐ Annexe 1 — charges, taxes et clé de répartition</w:t>
            </w:r>
          </w:p>
        </w:tc>
        <w:tc>
          <w:tcPr>
            <w:tcW w:type="dxa" w:w="5241"/>
            <w:tcMar>
              <w:top w:w="45" w:type="dxa"/>
              <w:start w:w="60" w:type="dxa"/>
              <w:bottom w:w="45" w:type="dxa"/>
              <w:end w:w="60" w:type="dxa"/>
            </w:tcMar>
          </w:tcPr>
          <w:p>
            <w:pPr>
              <w:spacing w:after="0"/>
            </w:pPr>
            <w:r>
              <w:rPr>
                <w:rFonts w:ascii="Liberation Sans" w:hAnsi="Liberation Sans" w:eastAsia="Liberation Sans"/>
                <w:sz w:val="17"/>
              </w:rPr>
              <w:t>☐ Devis, factures, autorisations et assurances travaux</w:t>
            </w:r>
          </w:p>
        </w:tc>
      </w:tr>
      <w:tr>
        <w:tc>
          <w:tcPr>
            <w:tcW w:type="dxa" w:w="5241"/>
            <w:tcMar>
              <w:top w:w="45" w:type="dxa"/>
              <w:start w:w="60" w:type="dxa"/>
              <w:bottom w:w="45" w:type="dxa"/>
              <w:end w:w="60" w:type="dxa"/>
            </w:tcMar>
          </w:tcPr>
          <w:p>
            <w:pPr>
              <w:spacing w:after="0"/>
            </w:pPr>
            <w:r>
              <w:rPr>
                <w:rFonts w:ascii="Liberation Sans" w:hAnsi="Liberation Sans" w:eastAsia="Liberation Sans"/>
                <w:sz w:val="17"/>
              </w:rPr>
              <w:t>☐ DPE / état des risques / amiante selon le régime et la modification</w:t>
            </w:r>
          </w:p>
        </w:tc>
        <w:tc>
          <w:tcPr>
            <w:tcW w:type="dxa" w:w="5241"/>
            <w:tcMar>
              <w:top w:w="45" w:type="dxa"/>
              <w:start w:w="60" w:type="dxa"/>
              <w:bottom w:w="45" w:type="dxa"/>
              <w:end w:w="60" w:type="dxa"/>
            </w:tcMar>
          </w:tcPr>
          <w:p>
            <w:pPr>
              <w:spacing w:after="0"/>
            </w:pPr>
            <w:r>
              <w:rPr>
                <w:rFonts w:ascii="Liberation Sans" w:hAnsi="Liberation Sans" w:eastAsia="Liberation Sans"/>
                <w:sz w:val="17"/>
              </w:rPr>
              <w:t>☐ Acte distinct de caution / garantie</w:t>
            </w:r>
          </w:p>
        </w:tc>
      </w:tr>
      <w:tr>
        <w:tc>
          <w:tcPr>
            <w:tcW w:type="dxa" w:w="5241"/>
            <w:tcMar>
              <w:top w:w="45" w:type="dxa"/>
              <w:start w:w="60" w:type="dxa"/>
              <w:bottom w:w="45" w:type="dxa"/>
              <w:end w:w="60" w:type="dxa"/>
            </w:tcMar>
          </w:tcPr>
          <w:p>
            <w:pPr>
              <w:spacing w:after="0"/>
            </w:pPr>
            <w:r>
              <w:rPr>
                <w:rFonts w:ascii="Liberation Sans" w:hAnsi="Liberation Sans" w:eastAsia="Liberation Sans"/>
                <w:sz w:val="17"/>
              </w:rPr>
              <w:t>☐ Pouvoirs, Kbis, agrément ou acte de cession</w:t>
            </w:r>
          </w:p>
        </w:tc>
        <w:tc>
          <w:tcPr>
            <w:tcW w:type="dxa" w:w="5241"/>
            <w:tcMar>
              <w:top w:w="45" w:type="dxa"/>
              <w:start w:w="60" w:type="dxa"/>
              <w:bottom w:w="45" w:type="dxa"/>
              <w:end w:w="60" w:type="dxa"/>
            </w:tcMar>
          </w:tcPr>
          <w:p>
            <w:pPr>
              <w:spacing w:after="0"/>
            </w:pPr>
            <w:r>
              <w:rPr>
                <w:rFonts w:ascii="Liberation Sans" w:hAnsi="Liberation Sans" w:eastAsia="Liberation Sans"/>
                <w:sz w:val="17"/>
              </w:rPr>
              <w:t>☐ Autre : [________________________]</w:t>
            </w:r>
          </w:p>
        </w:tc>
      </w:tr>
    </w:tbl>
    <w:p>
      <w:pPr>
        <w:spacing w:after="40" w:line="240" w:lineRule="auto"/>
      </w:pPr>
      <w:r>
        <w:rPr>
          <w:b/>
          <w:sz w:val="18"/>
        </w:rPr>
        <w:t xml:space="preserve">Article 4 — Ratification. </w:t>
      </w:r>
      <w:r>
        <w:rPr>
          <w:sz w:val="18"/>
        </w:rPr>
        <w:t>Sous réserve des modifications ci-dessus, les Parties confirment toutes les clauses du bail d’origine. Le présent avenant en devient une annexe indivisible.</w:t>
      </w:r>
    </w:p>
    <w:p>
      <w:pPr>
        <w:spacing w:after="40" w:line="240" w:lineRule="auto"/>
      </w:pPr>
      <w:r>
        <w:rPr>
          <w:b/>
          <w:sz w:val="18"/>
        </w:rPr>
        <w:t xml:space="preserve">Article 5 — Notifications. </w:t>
      </w:r>
      <w:r>
        <w:rPr>
          <w:sz w:val="18"/>
        </w:rPr>
        <w:t>Les adresses de notification sont celles indiquées au présent acte. Toute modification doit être notifiée par écrit. Les formes impératives prévues pour les congés, demandes de renouvellement et autres actes spéciaux restent applicables.</w:t>
      </w:r>
    </w:p>
    <w:p>
      <w:pPr>
        <w:spacing w:after="40" w:line="240" w:lineRule="auto"/>
      </w:pPr>
      <w:r>
        <w:rPr>
          <w:b/>
          <w:sz w:val="18"/>
        </w:rPr>
        <w:t xml:space="preserve">Article 6 — Exemplaires et signature. </w:t>
      </w:r>
      <w:r>
        <w:rPr>
          <w:sz w:val="18"/>
        </w:rPr>
        <w:t>Le présent avenant est établi en autant d’exemplaires que de Parties ayant un intérêt distinct. Il peut être signé électroniquement dans les conditions des articles 1366 et 1367 du Code civil.</w:t>
      </w:r>
    </w:p>
    <w:p>
      <w:pPr>
        <w:pStyle w:val="Heading1"/>
        <w:keepNext/>
      </w:pPr>
      <w:r>
        <w:t>7. SIGNATURES</w:t>
      </w:r>
    </w:p>
    <w:tbl>
      <w:tblPr>
        <w:tblW w:type="auto" w:w="0"/>
        <w:jc w:val="center"/>
        <w:tblLayout w:type="fixed"/>
        <w:tblLook w:firstColumn="1" w:firstRow="1" w:lastColumn="0" w:lastRow="0" w:noHBand="0" w:noVBand="1" w:val="04A0"/>
      </w:tblPr>
      <w:tblGrid>
        <w:gridCol w:w="5241"/>
        <w:gridCol w:w="5241"/>
      </w:tblGrid>
      <w:tr>
        <w:tc>
          <w:tcPr>
            <w:tcW w:type="dxa" w:w="2721"/>
            <w:shd w:fill="E8EEF5"/>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b/>
                <w:sz w:val="17"/>
              </w:rPr>
              <w:t>Lieu et date</w:t>
            </w:r>
          </w:p>
        </w:tc>
        <w:tc>
          <w:tcPr>
            <w:tcW w:type="dxa" w:w="6803"/>
            <w:tcBorders>
              <w:top w:val="single" w:sz="4" w:color="B7C3D0"/>
              <w:left w:val="single" w:sz="4" w:color="B7C3D0"/>
              <w:bottom w:val="single" w:sz="4" w:color="B7C3D0"/>
              <w:right w:val="single" w:sz="4" w:color="B7C3D0"/>
            </w:tcBorders>
            <w:tcMar>
              <w:top w:w="70" w:type="dxa"/>
              <w:start w:w="90" w:type="dxa"/>
              <w:bottom w:w="70" w:type="dxa"/>
              <w:end w:w="90" w:type="dxa"/>
            </w:tcMar>
            <w:vAlign w:val="center"/>
          </w:tcPr>
          <w:p>
            <w:pPr>
              <w:spacing w:after="0"/>
            </w:pPr>
            <w:r>
              <w:rPr>
                <w:rFonts w:ascii="Aptos" w:hAnsi="Aptos"/>
                <w:sz w:val="17"/>
              </w:rPr>
              <w:t>Fait à [________________], le [JJ/MM/AAAA], en [___] exemplaires.</w:t>
            </w:r>
          </w:p>
        </w:tc>
      </w:tr>
    </w:tbl>
    <w:p>
      <w:pPr>
        <w:spacing w:after="0"/>
      </w:pPr>
    </w:p>
    <w:tbl>
      <w:tblPr>
        <w:tblW w:type="auto" w:w="0"/>
        <w:jc w:val="center"/>
        <w:tblLayout w:type="fixed"/>
        <w:tblLook w:firstColumn="1" w:firstRow="1" w:lastColumn="0" w:lastRow="0" w:noHBand="0" w:noVBand="1" w:val="04A0"/>
      </w:tblPr>
      <w:tblGrid>
        <w:gridCol w:w="3494"/>
        <w:gridCol w:w="3494"/>
        <w:gridCol w:w="3494"/>
      </w:tblGrid>
      <w:tr>
        <w:tc>
          <w:tcPr>
            <w:tcW w:type="dxa" w:w="3494"/>
            <w:shd w:fill="E8EEF5"/>
            <w:tcBorders>
              <w:top w:val="single" w:sz="4" w:color="9FB3C8"/>
              <w:left w:val="single" w:sz="4" w:color="9FB3C8"/>
              <w:bottom w:val="single" w:sz="4" w:color="9FB3C8"/>
              <w:right w:val="single" w:sz="4" w:color="9FB3C8"/>
            </w:tcBorders>
          </w:tcPr>
          <w:p>
            <w:pPr>
              <w:spacing w:after="0"/>
              <w:jc w:val="center"/>
            </w:pPr>
            <w:r>
              <w:rPr>
                <w:rFonts w:ascii="Aptos" w:hAnsi="Aptos"/>
                <w:b/>
                <w:sz w:val="17"/>
              </w:rPr>
              <w:t>LE BAILLEUR / MANDATAIRE</w:t>
            </w:r>
          </w:p>
        </w:tc>
        <w:tc>
          <w:tcPr>
            <w:tcW w:type="dxa" w:w="3494"/>
            <w:shd w:fill="E8EEF5"/>
            <w:tcBorders>
              <w:top w:val="single" w:sz="4" w:color="9FB3C8"/>
              <w:left w:val="single" w:sz="4" w:color="9FB3C8"/>
              <w:bottom w:val="single" w:sz="4" w:color="9FB3C8"/>
              <w:right w:val="single" w:sz="4" w:color="9FB3C8"/>
            </w:tcBorders>
          </w:tcPr>
          <w:p>
            <w:pPr>
              <w:spacing w:after="0"/>
              <w:jc w:val="center"/>
            </w:pPr>
            <w:r>
              <w:rPr>
                <w:rFonts w:ascii="Aptos" w:hAnsi="Aptos"/>
                <w:b/>
                <w:sz w:val="17"/>
              </w:rPr>
              <w:t>LE PRENEUR / LOCATAIRE</w:t>
            </w:r>
          </w:p>
        </w:tc>
        <w:tc>
          <w:tcPr>
            <w:tcW w:type="dxa" w:w="3494"/>
            <w:shd w:fill="E8EEF5"/>
            <w:tcBorders>
              <w:top w:val="single" w:sz="4" w:color="9FB3C8"/>
              <w:left w:val="single" w:sz="4" w:color="9FB3C8"/>
              <w:bottom w:val="single" w:sz="4" w:color="9FB3C8"/>
              <w:right w:val="single" w:sz="4" w:color="9FB3C8"/>
            </w:tcBorders>
          </w:tcPr>
          <w:p>
            <w:pPr>
              <w:spacing w:after="0"/>
              <w:jc w:val="center"/>
            </w:pPr>
            <w:r>
              <w:rPr>
                <w:rFonts w:ascii="Aptos" w:hAnsi="Aptos"/>
                <w:b/>
                <w:sz w:val="17"/>
              </w:rPr>
              <w:t>NOUVELLE PARTIE / CAUTION</w:t>
            </w:r>
          </w:p>
        </w:tc>
      </w:tr>
      <w:tr>
        <w:trPr>
          <w:trHeight w:val="1814" w:hRule="atLeast"/>
        </w:trPr>
        <w:tc>
          <w:tcPr>
            <w:tcW w:type="dxa" w:w="3494"/>
            <w:tcBorders>
              <w:top w:val="single" w:sz="4" w:color="9FB3C8"/>
              <w:left w:val="single" w:sz="4" w:color="9FB3C8"/>
              <w:bottom w:val="single" w:sz="4" w:color="9FB3C8"/>
              <w:right w:val="single" w:sz="4" w:color="9FB3C8"/>
            </w:tcBorders>
            <w:tcMar>
              <w:top w:w="80" w:type="dxa"/>
              <w:start w:w="80" w:type="dxa"/>
              <w:bottom w:w="80" w:type="dxa"/>
              <w:end w:w="80" w:type="dxa"/>
            </w:tcMar>
          </w:tcPr>
          <w:p>
            <w:pPr>
              <w:spacing w:after="0"/>
            </w:pPr>
            <w:r>
              <w:rPr>
                <w:rFonts w:ascii="Aptos" w:hAnsi="Aptos"/>
                <w:sz w:val="17"/>
              </w:rPr>
              <w:t>Nom : [________________]</w:t>
              <w:br/>
              <w:t>Qualité : [________________]</w:t>
              <w:br/>
              <w:t>Signature :</w:t>
              <w:br/>
              <w:br/>
              <w:br/>
            </w:r>
          </w:p>
        </w:tc>
        <w:tc>
          <w:tcPr>
            <w:tcW w:type="dxa" w:w="3494"/>
            <w:tcBorders>
              <w:top w:val="single" w:sz="4" w:color="9FB3C8"/>
              <w:left w:val="single" w:sz="4" w:color="9FB3C8"/>
              <w:bottom w:val="single" w:sz="4" w:color="9FB3C8"/>
              <w:right w:val="single" w:sz="4" w:color="9FB3C8"/>
            </w:tcBorders>
            <w:tcMar>
              <w:top w:w="80" w:type="dxa"/>
              <w:start w:w="80" w:type="dxa"/>
              <w:bottom w:w="80" w:type="dxa"/>
              <w:end w:w="80" w:type="dxa"/>
            </w:tcMar>
          </w:tcPr>
          <w:p>
            <w:pPr>
              <w:spacing w:after="0"/>
            </w:pPr>
            <w:r>
              <w:rPr>
                <w:rFonts w:ascii="Aptos" w:hAnsi="Aptos"/>
                <w:sz w:val="17"/>
              </w:rPr>
              <w:t>Nom : [________________]</w:t>
              <w:br/>
              <w:t>Qualité : [________________]</w:t>
              <w:br/>
              <w:t>Signature :</w:t>
              <w:br/>
              <w:br/>
              <w:br/>
            </w:r>
          </w:p>
        </w:tc>
        <w:tc>
          <w:tcPr>
            <w:tcW w:type="dxa" w:w="3494"/>
            <w:tcBorders>
              <w:top w:val="single" w:sz="4" w:color="9FB3C8"/>
              <w:left w:val="single" w:sz="4" w:color="9FB3C8"/>
              <w:bottom w:val="single" w:sz="4" w:color="9FB3C8"/>
              <w:right w:val="single" w:sz="4" w:color="9FB3C8"/>
            </w:tcBorders>
            <w:tcMar>
              <w:top w:w="80" w:type="dxa"/>
              <w:start w:w="80" w:type="dxa"/>
              <w:bottom w:w="80" w:type="dxa"/>
              <w:end w:w="80" w:type="dxa"/>
            </w:tcMar>
          </w:tcPr>
          <w:p>
            <w:pPr>
              <w:spacing w:after="0"/>
            </w:pPr>
            <w:r>
              <w:rPr>
                <w:rFonts w:ascii="Aptos" w:hAnsi="Aptos"/>
                <w:sz w:val="17"/>
              </w:rPr>
              <w:t>Nom : [________________]</w:t>
              <w:br/>
              <w:t>Qualité : [________________]</w:t>
              <w:br/>
              <w:t>Signature :</w:t>
              <w:br/>
              <w:br/>
              <w:br/>
            </w:r>
          </w:p>
        </w:tc>
      </w:tr>
    </w:tbl>
    <w:p>
      <w:pPr>
        <w:spacing w:after="80" w:before="40" w:line="245" w:lineRule="auto"/>
      </w:pPr>
      <w:r>
        <w:rPr>
          <w:i/>
          <w:sz w:val="16"/>
        </w:rPr>
        <w:t>Chaque partie dont les droits ou obligations sont modifiés doit signer. La caution signe en outre un acte distinct lorsque son engagement est créé ou étendu.</w:t>
      </w:r>
    </w:p>
    <w:p>
      <w:pPr>
        <w:pStyle w:val="Heading1"/>
        <w:keepNext/>
      </w:pPr>
      <w:r>
        <w:t>ANNEXE 1 — RÉPARTITION DES CHARGES, IMPÔTS, TAXES ET SERVICES</w:t>
      </w:r>
    </w:p>
    <w:p>
      <w:pPr>
        <w:spacing w:after="40" w:before="0" w:line="245" w:lineRule="auto"/>
      </w:pPr>
      <w:r>
        <w:rPr>
          <w:i/>
          <w:sz w:val="17"/>
        </w:rPr>
        <w:t>À compléter uniquement si le module D est retenu. Pour un bail commercial, l’inventaire doit être précis et limitatif.</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trPr>
        <w:tc>
          <w:tcPr>
            <w:tcW w:type="dxa" w:w="3515"/>
            <w:shd w:fill="1F4E79"/>
            <w:tcBorders>
              <w:top w:val="single" w:sz="4" w:color="1F4E79"/>
              <w:left w:val="single" w:sz="4" w:color="1F4E79"/>
              <w:bottom w:val="single" w:sz="4" w:color="1F4E79"/>
              <w:right w:val="single" w:sz="4" w:color="1F4E79"/>
            </w:tcBorders>
            <w:tcMar>
              <w:top w:w="55" w:type="dxa"/>
              <w:start w:w="55" w:type="dxa"/>
              <w:bottom w:w="55" w:type="dxa"/>
              <w:end w:w="55" w:type="dxa"/>
            </w:tcMar>
          </w:tcPr>
          <w:p>
            <w:pPr>
              <w:spacing w:after="0"/>
              <w:jc w:val="center"/>
            </w:pPr>
            <w:r>
              <w:rPr>
                <w:rFonts w:ascii="Aptos" w:hAnsi="Aptos"/>
                <w:b/>
                <w:color w:val="FFFFFF"/>
                <w:sz w:val="15"/>
              </w:rPr>
              <w:t>Nature de la dépense</w:t>
            </w:r>
          </w:p>
        </w:tc>
        <w:tc>
          <w:tcPr>
            <w:tcW w:type="dxa" w:w="1134"/>
            <w:shd w:fill="1F4E79"/>
            <w:tcBorders>
              <w:top w:val="single" w:sz="4" w:color="1F4E79"/>
              <w:left w:val="single" w:sz="4" w:color="1F4E79"/>
              <w:bottom w:val="single" w:sz="4" w:color="1F4E79"/>
              <w:right w:val="single" w:sz="4" w:color="1F4E79"/>
            </w:tcBorders>
            <w:tcMar>
              <w:top w:w="55" w:type="dxa"/>
              <w:start w:w="55" w:type="dxa"/>
              <w:bottom w:w="55" w:type="dxa"/>
              <w:end w:w="55" w:type="dxa"/>
            </w:tcMar>
          </w:tcPr>
          <w:p>
            <w:pPr>
              <w:spacing w:after="0"/>
              <w:jc w:val="center"/>
            </w:pPr>
            <w:r>
              <w:rPr>
                <w:rFonts w:ascii="Aptos" w:hAnsi="Aptos"/>
                <w:b/>
                <w:color w:val="FFFFFF"/>
                <w:sz w:val="15"/>
              </w:rPr>
              <w:t>Bailleur</w:t>
            </w:r>
          </w:p>
        </w:tc>
        <w:tc>
          <w:tcPr>
            <w:tcW w:type="dxa" w:w="1134"/>
            <w:shd w:fill="1F4E79"/>
            <w:tcBorders>
              <w:top w:val="single" w:sz="4" w:color="1F4E79"/>
              <w:left w:val="single" w:sz="4" w:color="1F4E79"/>
              <w:bottom w:val="single" w:sz="4" w:color="1F4E79"/>
              <w:right w:val="single" w:sz="4" w:color="1F4E79"/>
            </w:tcBorders>
            <w:tcMar>
              <w:top w:w="55" w:type="dxa"/>
              <w:start w:w="55" w:type="dxa"/>
              <w:bottom w:w="55" w:type="dxa"/>
              <w:end w:w="55" w:type="dxa"/>
            </w:tcMar>
          </w:tcPr>
          <w:p>
            <w:pPr>
              <w:spacing w:after="0"/>
              <w:jc w:val="center"/>
            </w:pPr>
            <w:r>
              <w:rPr>
                <w:rFonts w:ascii="Aptos" w:hAnsi="Aptos"/>
                <w:b/>
                <w:color w:val="FFFFFF"/>
                <w:sz w:val="15"/>
              </w:rPr>
              <w:t>Preneur</w:t>
            </w:r>
          </w:p>
        </w:tc>
        <w:tc>
          <w:tcPr>
            <w:tcW w:type="dxa" w:w="1757"/>
            <w:shd w:fill="1F4E79"/>
            <w:tcBorders>
              <w:top w:val="single" w:sz="4" w:color="1F4E79"/>
              <w:left w:val="single" w:sz="4" w:color="1F4E79"/>
              <w:bottom w:val="single" w:sz="4" w:color="1F4E79"/>
              <w:right w:val="single" w:sz="4" w:color="1F4E79"/>
            </w:tcBorders>
            <w:tcMar>
              <w:top w:w="55" w:type="dxa"/>
              <w:start w:w="55" w:type="dxa"/>
              <w:bottom w:w="55" w:type="dxa"/>
              <w:end w:w="55" w:type="dxa"/>
            </w:tcMar>
          </w:tcPr>
          <w:p>
            <w:pPr>
              <w:spacing w:after="0"/>
              <w:jc w:val="center"/>
            </w:pPr>
            <w:r>
              <w:rPr>
                <w:rFonts w:ascii="Aptos" w:hAnsi="Aptos"/>
                <w:b/>
                <w:color w:val="FFFFFF"/>
                <w:sz w:val="15"/>
              </w:rPr>
              <w:t>Clé / montant</w:t>
            </w:r>
          </w:p>
        </w:tc>
        <w:tc>
          <w:tcPr>
            <w:tcW w:type="dxa" w:w="2268"/>
            <w:shd w:fill="1F4E79"/>
            <w:tcBorders>
              <w:top w:val="single" w:sz="4" w:color="1F4E79"/>
              <w:left w:val="single" w:sz="4" w:color="1F4E79"/>
              <w:bottom w:val="single" w:sz="4" w:color="1F4E79"/>
              <w:right w:val="single" w:sz="4" w:color="1F4E79"/>
            </w:tcBorders>
            <w:tcMar>
              <w:top w:w="55" w:type="dxa"/>
              <w:start w:w="55" w:type="dxa"/>
              <w:bottom w:w="55" w:type="dxa"/>
              <w:end w:w="55" w:type="dxa"/>
            </w:tcMar>
          </w:tcPr>
          <w:p>
            <w:pPr>
              <w:spacing w:after="0"/>
              <w:jc w:val="center"/>
            </w:pPr>
            <w:r>
              <w:rPr>
                <w:rFonts w:ascii="Aptos" w:hAnsi="Aptos"/>
                <w:b/>
                <w:color w:val="FFFFFF"/>
                <w:sz w:val="15"/>
              </w:rPr>
              <w:t>Justificatif / périodicité</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r>
        <w:tc>
          <w:tcPr>
            <w:tcW w:type="dxa" w:w="3515"/>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134"/>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center"/>
            </w:pPr>
            <w:r>
              <w:rPr>
                <w:rFonts w:ascii="Liberation Sans" w:hAnsi="Liberation Sans"/>
                <w:sz w:val="16"/>
              </w:rPr>
              <w:t>☐</w:t>
            </w:r>
          </w:p>
        </w:tc>
        <w:tc>
          <w:tcPr>
            <w:tcW w:type="dxa" w:w="1757"/>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w:t>
            </w:r>
          </w:p>
        </w:tc>
        <w:tc>
          <w:tcPr>
            <w:tcW w:type="dxa" w:w="2268"/>
            <w:tcBorders>
              <w:top w:val="single" w:sz="3" w:color="B7C3D0"/>
              <w:left w:val="single" w:sz="3" w:color="B7C3D0"/>
              <w:bottom w:val="single" w:sz="3" w:color="B7C3D0"/>
              <w:right w:val="single" w:sz="3" w:color="B7C3D0"/>
            </w:tcBorders>
            <w:tcMar>
              <w:top w:w="45" w:type="dxa"/>
              <w:start w:w="45" w:type="dxa"/>
              <w:bottom w:w="45" w:type="dxa"/>
              <w:end w:w="45" w:type="dxa"/>
            </w:tcMar>
          </w:tcPr>
          <w:p>
            <w:pPr>
              <w:spacing w:after="0"/>
              <w:jc w:val="left"/>
            </w:pPr>
            <w:r>
              <w:rPr>
                <w:rFonts w:ascii="Aptos" w:hAnsi="Aptos"/>
                <w:sz w:val="16"/>
              </w:rPr>
              <w:t>[________________]</w:t>
            </w:r>
          </w:p>
        </w:tc>
      </w:tr>
    </w:tbl>
    <w:p>
      <w:pPr>
        <w:spacing w:after="0" w:before="40" w:line="245" w:lineRule="auto"/>
      </w:pPr>
      <w:r>
        <w:rPr>
          <w:i/>
          <w:sz w:val="14"/>
        </w:rPr>
        <w:t>Base juridique : loi n° 89-462 du 6 juillet 1989 (art. 3, 7, 8, 8-1, 17-1, 17-2, 22 et 23) ; Code de commerce (art. L. 145-1 et s., L. 145-32-1, L. 145-40, L. 145-40-2 et R. 145-35) ; article 57 A de la loi n° 86-1290 du 23 décembre 1986 ; Code civil (art. 1103, 1193, 1366, 1367 et 1719). Document à adapter au bail initial et à la situation réelle — version vérifiée au 17 juillet 2026.</w:t>
      </w:r>
    </w:p>
    <w:sectPr w:rsidR="00FC693F" w:rsidRPr="0006063C" w:rsidSect="00034616">
      <w:headerReference w:type="default" r:id="rId9"/>
      <w:footerReference w:type="default" r:id="rId10"/>
      <w:pgSz w:w="12240" w:h="15840"/>
      <w:pgMar w:top="709" w:right="879" w:bottom="709" w:left="879" w:header="283"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8"/>
        <w:sz w:val="15"/>
      </w:rPr>
      <w:t xml:space="preserve">Droit français — version vérifiée au 17 juillet 2026  •  Page </w:t>
    </w: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E78"/>
        <w:sz w:val="15"/>
      </w:rPr>
      <w:t>AVENANT AU BAIL — MODÈLE MULTIRÉGIME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line="245" w:lineRule="auto"/>
    </w:pPr>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ascii="Aptos Display" w:hAnsi="Aptos Display" w:eastAsia="Aptos Display"/>
      <w:b/>
      <w:bCs/>
      <w:color w:val="17365D"/>
      <w:sz w:val="24"/>
      <w:szCs w:val="28"/>
    </w:rPr>
  </w:style>
  <w:style w:type="paragraph" w:styleId="Heading2">
    <w:name w:val="heading 2"/>
    <w:basedOn w:val="Normal"/>
    <w:next w:val="Normal"/>
    <w:link w:val="Heading2Char"/>
    <w:uiPriority w:val="9"/>
    <w:unhideWhenUsed/>
    <w:qFormat/>
    <w:rsid w:val="00FC693F"/>
    <w:pPr>
      <w:keepNext/>
      <w:keepLines/>
      <w:spacing w:before="80" w:after="40"/>
      <w:outlineLvl w:val="1"/>
    </w:pPr>
    <w:rPr>
      <w:rFonts w:asciiTheme="majorHAnsi" w:eastAsiaTheme="majorEastAsia" w:hAnsiTheme="majorHAnsi" w:cstheme="majorBidi" w:ascii="Aptos" w:hAnsi="Aptos" w:eastAsia="Aptos"/>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eastAsia="Aptos Display"/>
      <w:b/>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00"/>
    </w:pPr>
    <w:rPr>
      <w:rFonts w:asciiTheme="majorHAnsi" w:eastAsiaTheme="majorEastAsia" w:hAnsiTheme="majorHAnsi" w:cstheme="majorBidi" w:ascii="Aptos" w:hAnsi="Aptos" w:eastAsia="Aptos"/>
      <w:b w:val="0"/>
      <w:i/>
      <w:iCs/>
      <w:color w:val="5B6573"/>
      <w:spacing w:val="15"/>
      <w:sz w:val="19"/>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Avenant au contrat de bail — modèle synthétique à choix</dc:title>
  <dc:subject>Habitation, bail commercial et bail professionnel — droit français</dc:subject>
  <dc:creator>OpenAI</dc:creator>
  <cp:keywords>avenant, bail, habitation, commercial, professionnel, France</cp:keywords>
  <dc:description>Modèle vérifié au 17 juillet 2026. À adapter au bail initial et à la situation réelle.</dc:description>
  <cp:lastModifiedBy/>
  <cp:revision>1</cp:revision>
  <dcterms:created xsi:type="dcterms:W3CDTF">2013-12-23T23:15:00Z</dcterms:created>
  <dcterms:modified xsi:type="dcterms:W3CDTF">2013-12-23T23:15:00Z</dcterms:modified>
  <cp:category/>
</cp:coreProperties>
</file>